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F6BD" w14:textId="4F998109" w:rsidR="00C944E3" w:rsidRPr="00C944E3" w:rsidRDefault="00C944E3" w:rsidP="00C944E3">
      <w:pPr>
        <w:pStyle w:val="ae"/>
        <w:tabs>
          <w:tab w:val="right" w:pos="9639"/>
        </w:tabs>
        <w:wordWrap w:val="0"/>
        <w:spacing w:after="0"/>
        <w:ind w:left="120" w:right="120" w:hangingChars="50" w:hanging="120"/>
        <w:rPr>
          <w:noProof/>
          <w:lang w:val="en-GB"/>
        </w:rPr>
      </w:pPr>
      <w:r w:rsidRPr="00C944E3">
        <w:rPr>
          <w:noProof/>
          <w:lang w:val="en-GB"/>
        </w:rPr>
        <w:t>3GPP TSG-RAN WG2 #100</w:t>
      </w:r>
      <w:r w:rsidRPr="00C944E3">
        <w:rPr>
          <w:noProof/>
          <w:lang w:val="en-GB"/>
        </w:rPr>
        <w:tab/>
      </w:r>
      <w:bookmarkStart w:id="0" w:name="_GoBack"/>
      <w:bookmarkEnd w:id="0"/>
      <w:r w:rsidR="00FE0CBC">
        <w:rPr>
          <w:rFonts w:cs="Arial"/>
          <w:b w:val="0"/>
          <w:bCs/>
          <w:color w:val="808080"/>
          <w:sz w:val="26"/>
          <w:szCs w:val="26"/>
        </w:rPr>
        <w:t>R2-1713854</w:t>
      </w:r>
    </w:p>
    <w:p w14:paraId="645DBA0B" w14:textId="1A239BF6" w:rsidR="00571C65" w:rsidRDefault="00C944E3" w:rsidP="00C944E3">
      <w:pPr>
        <w:pStyle w:val="ae"/>
        <w:tabs>
          <w:tab w:val="right" w:pos="9639"/>
        </w:tabs>
        <w:wordWrap w:val="0"/>
        <w:spacing w:after="0"/>
        <w:ind w:left="120" w:right="120" w:hangingChars="50" w:hanging="120"/>
        <w:jc w:val="left"/>
        <w:rPr>
          <w:rFonts w:eastAsia="맑은 고딕" w:cs="Arial"/>
          <w:b w:val="0"/>
          <w:bCs/>
          <w:lang w:eastAsia="ko-KR"/>
        </w:rPr>
      </w:pPr>
      <w:r w:rsidRPr="00C944E3">
        <w:rPr>
          <w:noProof/>
          <w:lang w:val="en-GB"/>
        </w:rPr>
        <w:t>Reno, Nevada, 27 November – 1 December 2017</w:t>
      </w:r>
      <w:r w:rsidRPr="00C944E3">
        <w:rPr>
          <w:noProof/>
          <w:lang w:val="en-GB"/>
        </w:rPr>
        <w:tab/>
      </w:r>
      <w:r w:rsidR="00653402">
        <w:rPr>
          <w:noProof/>
          <w:lang w:val="en-GB"/>
        </w:rPr>
        <w:tab/>
        <w:t xml:space="preserve">(resubmission of </w:t>
      </w:r>
      <w:r w:rsidR="002E38FC">
        <w:rPr>
          <w:noProof/>
          <w:lang w:val="en-GB"/>
        </w:rPr>
        <w:t>R2-1711412</w:t>
      </w:r>
      <w:r w:rsidR="00653402">
        <w:rPr>
          <w:noProof/>
          <w:lang w:val="en-GB"/>
        </w:rPr>
        <w:t>)</w:t>
      </w:r>
      <w:r w:rsidR="00571C65" w:rsidRPr="006F09DC">
        <w:rPr>
          <w:rFonts w:eastAsia="맑은 고딕"/>
          <w:szCs w:val="24"/>
          <w:lang w:eastAsia="ko-KR"/>
        </w:rPr>
        <w:tab/>
      </w:r>
      <w:r w:rsidR="00571C65">
        <w:rPr>
          <w:rFonts w:eastAsia="맑은 고딕" w:hint="eastAsia"/>
          <w:szCs w:val="24"/>
          <w:lang w:eastAsia="ko-KR"/>
        </w:rPr>
        <w:tab/>
      </w:r>
    </w:p>
    <w:p w14:paraId="1B050309" w14:textId="038048CA" w:rsidR="00CD4C7B" w:rsidRPr="00B426FA" w:rsidRDefault="00CD4C7B" w:rsidP="00CD4C7B">
      <w:pPr>
        <w:pStyle w:val="CRCoverPage"/>
        <w:tabs>
          <w:tab w:val="left" w:pos="1985"/>
        </w:tabs>
        <w:rPr>
          <w:rFonts w:cs="Arial"/>
          <w:b/>
          <w:bCs/>
          <w:sz w:val="24"/>
        </w:rPr>
      </w:pPr>
      <w:r w:rsidRPr="00B266B0">
        <w:rPr>
          <w:rFonts w:cs="Arial"/>
          <w:b/>
          <w:bCs/>
          <w:sz w:val="24"/>
        </w:rPr>
        <w:t>Agenda item:</w:t>
      </w:r>
      <w:r>
        <w:rPr>
          <w:rFonts w:cs="Arial"/>
          <w:b/>
          <w:bCs/>
          <w:sz w:val="24"/>
        </w:rPr>
        <w:tab/>
      </w:r>
      <w:r w:rsidR="00B426FA" w:rsidRPr="00B426FA">
        <w:rPr>
          <w:rFonts w:cs="Arial"/>
          <w:b/>
          <w:bCs/>
          <w:sz w:val="24"/>
        </w:rPr>
        <w:t>10.2.</w:t>
      </w:r>
      <w:r w:rsidR="002E38FC">
        <w:rPr>
          <w:rFonts w:cs="Arial"/>
          <w:b/>
          <w:bCs/>
          <w:sz w:val="24"/>
        </w:rPr>
        <w:t>11</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4E5008C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06E9" w:rsidRPr="001606E9">
        <w:rPr>
          <w:rFonts w:ascii="Arial" w:hAnsi="Arial" w:cs="Arial"/>
          <w:b/>
          <w:bCs/>
          <w:sz w:val="24"/>
          <w:lang w:eastAsia="ko-KR"/>
        </w:rPr>
        <w:t>Problem of DC enhancement for 0 ms interruption time</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72ED31BC" w14:textId="4D75BBA5" w:rsidR="00D26E84" w:rsidRDefault="00D26E84" w:rsidP="00D26E84">
      <w:pPr>
        <w:rPr>
          <w:lang w:eastAsia="ko-KR"/>
        </w:rPr>
      </w:pPr>
      <w:r>
        <w:t>In RAN2#97, the following was agreed.</w:t>
      </w:r>
    </w:p>
    <w:tbl>
      <w:tblPr>
        <w:tblStyle w:val="af"/>
        <w:tblW w:w="0" w:type="auto"/>
        <w:tblLook w:val="04A0" w:firstRow="1" w:lastRow="0" w:firstColumn="1" w:lastColumn="0" w:noHBand="0" w:noVBand="1"/>
      </w:tblPr>
      <w:tblGrid>
        <w:gridCol w:w="9629"/>
      </w:tblGrid>
      <w:tr w:rsidR="00D26E84" w14:paraId="2F37A830" w14:textId="77777777" w:rsidTr="00D26E84">
        <w:tc>
          <w:tcPr>
            <w:tcW w:w="9839" w:type="dxa"/>
          </w:tcPr>
          <w:p w14:paraId="2718D02E" w14:textId="77777777" w:rsidR="00D26E84" w:rsidRDefault="00D26E84" w:rsidP="00D26E84">
            <w:r>
              <w:t>Agreements</w:t>
            </w:r>
          </w:p>
          <w:p w14:paraId="68DE322C" w14:textId="109C2AC8" w:rsidR="00D26E84" w:rsidRPr="00D26E84" w:rsidRDefault="00D26E84" w:rsidP="00D26E84">
            <w:pPr>
              <w:rPr>
                <w:lang w:eastAsia="ko-KR"/>
              </w:rPr>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tc>
      </w:tr>
    </w:tbl>
    <w:p w14:paraId="3E43AB90" w14:textId="4E165956" w:rsidR="00D26E84" w:rsidRDefault="008C0ECA" w:rsidP="00D26E84">
      <w:pPr>
        <w:rPr>
          <w:lang w:eastAsia="ko-KR"/>
        </w:rPr>
      </w:pPr>
      <w:r>
        <w:rPr>
          <w:rFonts w:hint="eastAsia"/>
          <w:lang w:eastAsia="ko-KR"/>
        </w:rPr>
        <w:t>And RAN2#97bis has made common sense as following:</w:t>
      </w:r>
    </w:p>
    <w:p w14:paraId="4A6E0C9C" w14:textId="77777777" w:rsidR="008C0ECA" w:rsidRDefault="008C0ECA" w:rsidP="008C0ECA">
      <w:pPr>
        <w:pStyle w:val="Doc-text2"/>
      </w:pPr>
      <w:r>
        <w:t>=&gt;</w:t>
      </w:r>
      <w:r>
        <w:tab/>
        <w:t>We will progress handover with 0ms interruption with dual tx/rx targeting to define a single solution. Discussion of this can start when basic DC operation is more stable</w:t>
      </w:r>
    </w:p>
    <w:p w14:paraId="38AC8926" w14:textId="77777777" w:rsidR="008C0ECA" w:rsidRPr="008C0ECA" w:rsidRDefault="008C0ECA" w:rsidP="00D26E84">
      <w:pPr>
        <w:rPr>
          <w:lang w:eastAsia="ko-KR"/>
        </w:rPr>
      </w:pPr>
    </w:p>
    <w:p w14:paraId="25922D51" w14:textId="0EBA1AFC" w:rsidR="00D26E84" w:rsidRPr="00D26E84" w:rsidRDefault="00D26E84" w:rsidP="00D26E84">
      <w:pPr>
        <w:rPr>
          <w:lang w:eastAsia="ko-KR"/>
        </w:rPr>
      </w:pPr>
      <w:r>
        <w:t>Based on the above agreement and the difficulties which might occur on designing HO mechanism for both cases i.e., single Tx/Rx case and simultaneous Tx/Rx case in parallel we prefer the priority on the baseline HO mechanism</w:t>
      </w:r>
      <w:r w:rsidR="00B81771">
        <w:rPr>
          <w:rFonts w:hint="eastAsia"/>
          <w:lang w:eastAsia="ko-KR"/>
        </w:rPr>
        <w:t xml:space="preserve"> </w:t>
      </w:r>
      <w:r>
        <w:t>design. In the case of simultaneous TX/RX with the source and target cell, it is meaningful to accomplish 0 ms interruption time rather than near 0ms. One direction is to use DC which has simultaneous Tx/RX and dual stacks. The latter is better to be used due to low standardization effort since already basic operations are standardized and these might be reused for HO solution. In this contribution, we consider the problem to be tackled on considering DC for handover enhancement.</w:t>
      </w:r>
    </w:p>
    <w:p w14:paraId="40EC0529" w14:textId="77777777" w:rsidR="00D26E84" w:rsidRDefault="00D26E84" w:rsidP="00D26E84">
      <w:pPr>
        <w:jc w:val="both"/>
        <w:rPr>
          <w:lang w:eastAsia="ko-KR"/>
        </w:rPr>
      </w:pPr>
    </w:p>
    <w:p w14:paraId="18BA981E" w14:textId="65DFEF26" w:rsidR="00CF26B1" w:rsidRPr="00D26E84" w:rsidRDefault="00D26E84" w:rsidP="00D26E84">
      <w:pPr>
        <w:pStyle w:val="1"/>
        <w:rPr>
          <w:lang w:eastAsia="ko-KR"/>
        </w:rPr>
      </w:pPr>
      <w:r>
        <w:rPr>
          <w:rFonts w:hint="eastAsia"/>
          <w:lang w:eastAsia="ko-KR"/>
        </w:rPr>
        <w:t>2</w:t>
      </w:r>
      <w:r>
        <w:t xml:space="preserve">. </w:t>
      </w:r>
      <w:r w:rsidRPr="00D26E84">
        <w:rPr>
          <w:lang w:eastAsia="ko-KR"/>
        </w:rPr>
        <w:t>DC 1A (MCG-SCG bearer) case</w:t>
      </w:r>
    </w:p>
    <w:p w14:paraId="317B33DA" w14:textId="77777777" w:rsidR="00237CC5" w:rsidRDefault="00D26E84" w:rsidP="006226BE">
      <w:pPr>
        <w:jc w:val="both"/>
        <w:rPr>
          <w:lang w:eastAsia="ko-KR"/>
        </w:rPr>
      </w:pPr>
      <w:r w:rsidRPr="00D26E84">
        <w:rPr>
          <w:lang w:eastAsia="ko-KR"/>
        </w:rPr>
        <w:t xml:space="preserve">In this case, bearer level split is used. Therefore, data stream which was served by MCG bearer should be switched to SCG bearer at some time, which involves S1-U path switch. </w:t>
      </w:r>
      <w:r w:rsidR="00237CC5">
        <w:rPr>
          <w:lang w:eastAsia="ko-KR"/>
        </w:rPr>
        <w:t>P</w:t>
      </w:r>
      <w:r w:rsidR="00237CC5">
        <w:rPr>
          <w:rFonts w:hint="eastAsia"/>
          <w:lang w:eastAsia="ko-KR"/>
        </w:rPr>
        <w:t>lease refer the following figure on SeNB addition procedure from TS 36.300.</w:t>
      </w:r>
    </w:p>
    <w:p w14:paraId="17AC0776" w14:textId="77777777" w:rsidR="00237CC5" w:rsidRDefault="00237CC5" w:rsidP="006226BE">
      <w:pPr>
        <w:jc w:val="both"/>
        <w:rPr>
          <w:lang w:eastAsia="ko-KR"/>
        </w:rPr>
      </w:pPr>
    </w:p>
    <w:p w14:paraId="33EA2982" w14:textId="683F50A0" w:rsidR="00237CC5" w:rsidRDefault="00C427CB" w:rsidP="00237CC5">
      <w:pPr>
        <w:keepNext/>
        <w:jc w:val="both"/>
      </w:pPr>
      <w:r>
        <w:object w:dxaOrig="11611" w:dyaOrig="8116" w14:anchorId="3CE6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36.2pt" o:ole="">
            <v:imagedata r:id="rId10" o:title=""/>
          </v:shape>
          <o:OLEObject Type="Embed" ProgID="Visio.Drawing.15" ShapeID="_x0000_i1025" DrawAspect="Content" ObjectID="_1572433875" r:id="rId11"/>
        </w:object>
      </w:r>
    </w:p>
    <w:p w14:paraId="240B36C4" w14:textId="0DF4C685" w:rsidR="00237CC5" w:rsidRDefault="00237CC5" w:rsidP="00237CC5">
      <w:pPr>
        <w:pStyle w:val="ad"/>
        <w:jc w:val="center"/>
        <w:rPr>
          <w:lang w:eastAsia="ko-KR"/>
        </w:rPr>
      </w:pPr>
      <w:r>
        <w:t xml:space="preserve">Figure </w:t>
      </w:r>
      <w:r w:rsidR="005A0648">
        <w:fldChar w:fldCharType="begin"/>
      </w:r>
      <w:r w:rsidR="005A0648">
        <w:instrText xml:space="preserve"> SEQ Figure \* ARABIC </w:instrText>
      </w:r>
      <w:r w:rsidR="005A0648">
        <w:fldChar w:fldCharType="separate"/>
      </w:r>
      <w:r>
        <w:rPr>
          <w:noProof/>
        </w:rPr>
        <w:t>1</w:t>
      </w:r>
      <w:r w:rsidR="005A0648">
        <w:rPr>
          <w:noProof/>
        </w:rPr>
        <w:fldChar w:fldCharType="end"/>
      </w:r>
      <w:r>
        <w:rPr>
          <w:rFonts w:hint="eastAsia"/>
          <w:lang w:eastAsia="ko-KR"/>
        </w:rPr>
        <w:t xml:space="preserve"> </w:t>
      </w:r>
      <w:r w:rsidRPr="004B17BF">
        <w:rPr>
          <w:lang w:eastAsia="ko-KR"/>
        </w:rPr>
        <w:t>SeNB addition procedure in LTE 36.300</w:t>
      </w:r>
    </w:p>
    <w:p w14:paraId="3DA6FD61" w14:textId="77777777" w:rsidR="00237CC5" w:rsidRDefault="00237CC5" w:rsidP="006226BE">
      <w:pPr>
        <w:jc w:val="both"/>
        <w:rPr>
          <w:lang w:eastAsia="ko-KR"/>
        </w:rPr>
      </w:pPr>
    </w:p>
    <w:p w14:paraId="220665E8" w14:textId="5E810BBC" w:rsidR="007C4CDE" w:rsidRDefault="00D26E84" w:rsidP="006226BE">
      <w:pPr>
        <w:jc w:val="both"/>
        <w:rPr>
          <w:lang w:eastAsia="ko-KR"/>
        </w:rPr>
      </w:pPr>
      <w:r w:rsidRPr="00D26E84">
        <w:rPr>
          <w:lang w:eastAsia="ko-KR"/>
        </w:rPr>
        <w:t>After starting forwarding IP packet to PScell MeNB still might transmit the only remaining data stored in buffer of MCG bearer to the UE. In the SCG side, after RACH is completed data can be transmitted to UE from SCG bearer. The problem is that there is no mandatory timing alignment in the specification between the end of transmission in MCG bearer and RACH completion at PScell. If RACH finishes earlier than the end of TX at MCG bearer then UP TX continues without interruption. However, RACH finishes later than the end of TX at MCG there must be UP interruption. This seems to be similar to the single connection HO case. There is also unavoidable interruption between disconnection with source cell and TX/RX resumption with the target cell. Therefore, using DC 1A for 0 ms interruption is not the solution since even using 2 RF chains cannot guarantee 0 ms interruption time.</w:t>
      </w:r>
    </w:p>
    <w:p w14:paraId="719E01D2" w14:textId="77777777" w:rsidR="00D26E84" w:rsidRDefault="00D26E84" w:rsidP="006226BE">
      <w:pPr>
        <w:jc w:val="both"/>
        <w:rPr>
          <w:lang w:eastAsia="ko-KR"/>
        </w:rPr>
      </w:pPr>
    </w:p>
    <w:p w14:paraId="1FBBA554" w14:textId="77777777" w:rsidR="00D26E84" w:rsidRPr="00D26E84" w:rsidRDefault="00D26E84" w:rsidP="00D26E84">
      <w:pPr>
        <w:rPr>
          <w:i/>
        </w:rPr>
      </w:pPr>
      <w:r w:rsidRPr="00D26E84">
        <w:rPr>
          <w:i/>
        </w:rPr>
        <w:t>O</w:t>
      </w:r>
      <w:r w:rsidRPr="00D26E84">
        <w:rPr>
          <w:rFonts w:hint="eastAsia"/>
          <w:i/>
        </w:rPr>
        <w:t>bservation 1. Using DC as a baseline for making 0 interruption HO has the merit of reusing already existing mechanism.</w:t>
      </w:r>
    </w:p>
    <w:p w14:paraId="7CC245C7" w14:textId="77777777" w:rsidR="00D26E84" w:rsidRPr="00B81771" w:rsidRDefault="00D26E84" w:rsidP="00D26E84">
      <w:pPr>
        <w:rPr>
          <w:i/>
        </w:rPr>
      </w:pPr>
      <w:r w:rsidRPr="00B81771">
        <w:rPr>
          <w:i/>
        </w:rPr>
        <w:t>O</w:t>
      </w:r>
      <w:r w:rsidRPr="00B81771">
        <w:rPr>
          <w:rFonts w:hint="eastAsia"/>
          <w:i/>
        </w:rPr>
        <w:t>bservation 2. DC 1A cannot guarantee 0 ms interruption time.</w:t>
      </w:r>
    </w:p>
    <w:p w14:paraId="43FBE153" w14:textId="77777777" w:rsidR="00D26E84" w:rsidRPr="003A08E1" w:rsidRDefault="00D26E84" w:rsidP="00D26E84">
      <w:pPr>
        <w:rPr>
          <w:b/>
        </w:rPr>
      </w:pPr>
      <w:r w:rsidRPr="003A08E1">
        <w:rPr>
          <w:rFonts w:hint="eastAsia"/>
          <w:b/>
        </w:rPr>
        <w:t>Proposal 1. RAN2 should consider the split bearer case (LTE DC 3c) as a possible solution direction of 0 ms interruption time HO solution for NR.</w:t>
      </w:r>
    </w:p>
    <w:p w14:paraId="55B8CB73" w14:textId="77777777" w:rsidR="00D26E84" w:rsidRPr="00D26E84" w:rsidRDefault="00D26E84"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027095F1" w:rsidR="007C4CDE" w:rsidRDefault="00132F06" w:rsidP="006226BE">
      <w:pPr>
        <w:jc w:val="both"/>
        <w:rPr>
          <w:lang w:eastAsia="ko-KR"/>
        </w:rPr>
      </w:pPr>
      <w:r>
        <w:rPr>
          <w:lang w:eastAsia="ko-KR"/>
        </w:rPr>
        <w:t>B</w:t>
      </w:r>
      <w:r>
        <w:rPr>
          <w:rFonts w:hint="eastAsia"/>
          <w:lang w:eastAsia="ko-KR"/>
        </w:rPr>
        <w:t>ased on above discussion, we conclude with the following</w:t>
      </w:r>
      <w:r w:rsidR="00237CC5">
        <w:rPr>
          <w:rFonts w:hint="eastAsia"/>
          <w:lang w:eastAsia="ko-KR"/>
        </w:rPr>
        <w:t xml:space="preserve"> observations and</w:t>
      </w:r>
      <w:r>
        <w:rPr>
          <w:rFonts w:hint="eastAsia"/>
          <w:lang w:eastAsia="ko-KR"/>
        </w:rPr>
        <w:t xml:space="preserve"> proposal</w:t>
      </w:r>
      <w:r w:rsidR="00C031F8">
        <w:rPr>
          <w:rFonts w:hint="eastAsia"/>
          <w:lang w:eastAsia="ko-KR"/>
        </w:rPr>
        <w:t>s</w:t>
      </w:r>
      <w:r>
        <w:rPr>
          <w:rFonts w:hint="eastAsia"/>
          <w:lang w:eastAsia="ko-KR"/>
        </w:rPr>
        <w:t>.</w:t>
      </w:r>
    </w:p>
    <w:p w14:paraId="71EBD50E" w14:textId="77777777" w:rsidR="00237CC5" w:rsidRPr="00D26E84" w:rsidRDefault="00237CC5" w:rsidP="00237CC5">
      <w:pPr>
        <w:rPr>
          <w:i/>
        </w:rPr>
      </w:pPr>
      <w:r w:rsidRPr="00D26E84">
        <w:rPr>
          <w:i/>
        </w:rPr>
        <w:t>O</w:t>
      </w:r>
      <w:r w:rsidRPr="00D26E84">
        <w:rPr>
          <w:rFonts w:hint="eastAsia"/>
          <w:i/>
        </w:rPr>
        <w:t>bservation 1. Using DC as a baseline for making 0 interruption HO has the merit of reusing already existing mechanism.</w:t>
      </w:r>
    </w:p>
    <w:p w14:paraId="7F597291" w14:textId="77777777" w:rsidR="00237CC5" w:rsidRPr="00B81771" w:rsidRDefault="00237CC5" w:rsidP="00237CC5">
      <w:pPr>
        <w:rPr>
          <w:i/>
        </w:rPr>
      </w:pPr>
      <w:r w:rsidRPr="00B81771">
        <w:rPr>
          <w:i/>
        </w:rPr>
        <w:t>O</w:t>
      </w:r>
      <w:r w:rsidRPr="00B81771">
        <w:rPr>
          <w:rFonts w:hint="eastAsia"/>
          <w:i/>
        </w:rPr>
        <w:t>bservation 2. DC 1A cannot guarantee 0 ms interruption time.</w:t>
      </w:r>
    </w:p>
    <w:p w14:paraId="69796A31" w14:textId="77777777" w:rsidR="00237CC5" w:rsidRPr="00237CC5" w:rsidRDefault="00237CC5" w:rsidP="006226BE">
      <w:pPr>
        <w:jc w:val="both"/>
        <w:rPr>
          <w:lang w:eastAsia="ko-KR"/>
        </w:rPr>
      </w:pPr>
    </w:p>
    <w:p w14:paraId="59D4D2B9" w14:textId="77777777" w:rsidR="00B81771" w:rsidRPr="003A08E1" w:rsidRDefault="00B81771" w:rsidP="00B81771">
      <w:pPr>
        <w:rPr>
          <w:b/>
        </w:rPr>
      </w:pPr>
      <w:r w:rsidRPr="003A08E1">
        <w:rPr>
          <w:rFonts w:hint="eastAsia"/>
          <w:b/>
        </w:rPr>
        <w:t>Proposal 1. RAN2 should consider the split bearer case (LTE DC 3c) as a possible solution direction of 0 ms interruption time HO solution for NR.</w:t>
      </w:r>
    </w:p>
    <w:p w14:paraId="5B379695" w14:textId="77777777" w:rsidR="00132F06" w:rsidRPr="00B81771" w:rsidRDefault="00132F06" w:rsidP="006226BE">
      <w:pPr>
        <w:jc w:val="both"/>
        <w:rPr>
          <w:lang w:eastAsia="ko-KR"/>
        </w:rPr>
      </w:pPr>
    </w:p>
    <w:sectPr w:rsidR="00132F06" w:rsidRPr="00B81771" w:rsidSect="00237CC5">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9C72B" w14:textId="77777777" w:rsidR="00AA57F6" w:rsidRDefault="00AA57F6">
      <w:r>
        <w:separator/>
      </w:r>
    </w:p>
  </w:endnote>
  <w:endnote w:type="continuationSeparator" w:id="0">
    <w:p w14:paraId="501BA66D" w14:textId="77777777" w:rsidR="00AA57F6" w:rsidRDefault="00AA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0D4A2" w14:textId="77777777" w:rsidR="00AA57F6" w:rsidRDefault="00AA57F6">
      <w:r>
        <w:separator/>
      </w:r>
    </w:p>
  </w:footnote>
  <w:footnote w:type="continuationSeparator" w:id="0">
    <w:p w14:paraId="4901A2DD" w14:textId="77777777" w:rsidR="00AA57F6" w:rsidRDefault="00AA57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5F2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70DEF"/>
    <w:rsid w:val="001741A0"/>
    <w:rsid w:val="0017461B"/>
    <w:rsid w:val="00175BEC"/>
    <w:rsid w:val="00177110"/>
    <w:rsid w:val="00177FDB"/>
    <w:rsid w:val="00184DD2"/>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D707C"/>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37CC5"/>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96A6A"/>
    <w:rsid w:val="002A3562"/>
    <w:rsid w:val="002B0E8F"/>
    <w:rsid w:val="002D1302"/>
    <w:rsid w:val="002D1C10"/>
    <w:rsid w:val="002D40F3"/>
    <w:rsid w:val="002D434B"/>
    <w:rsid w:val="002D4530"/>
    <w:rsid w:val="002E1FB4"/>
    <w:rsid w:val="002E38FC"/>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4F6EDD"/>
    <w:rsid w:val="004F7E16"/>
    <w:rsid w:val="005024D3"/>
    <w:rsid w:val="00503171"/>
    <w:rsid w:val="00504D46"/>
    <w:rsid w:val="005060E8"/>
    <w:rsid w:val="0050625D"/>
    <w:rsid w:val="0051389E"/>
    <w:rsid w:val="00514F74"/>
    <w:rsid w:val="00517AFC"/>
    <w:rsid w:val="00520D64"/>
    <w:rsid w:val="00525724"/>
    <w:rsid w:val="00530DC6"/>
    <w:rsid w:val="00533493"/>
    <w:rsid w:val="00534DA0"/>
    <w:rsid w:val="00536AB1"/>
    <w:rsid w:val="00536E3F"/>
    <w:rsid w:val="00543E6C"/>
    <w:rsid w:val="00552F7E"/>
    <w:rsid w:val="005575A9"/>
    <w:rsid w:val="00565087"/>
    <w:rsid w:val="0056573F"/>
    <w:rsid w:val="00565CF2"/>
    <w:rsid w:val="00571C65"/>
    <w:rsid w:val="00573550"/>
    <w:rsid w:val="00581CE7"/>
    <w:rsid w:val="005902DD"/>
    <w:rsid w:val="00592DF3"/>
    <w:rsid w:val="00593E08"/>
    <w:rsid w:val="005A0648"/>
    <w:rsid w:val="005A37FB"/>
    <w:rsid w:val="005A701C"/>
    <w:rsid w:val="005B19C7"/>
    <w:rsid w:val="005B19D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3402"/>
    <w:rsid w:val="00655958"/>
    <w:rsid w:val="00656910"/>
    <w:rsid w:val="00656A76"/>
    <w:rsid w:val="0067284A"/>
    <w:rsid w:val="006776CB"/>
    <w:rsid w:val="006810A3"/>
    <w:rsid w:val="00681CD0"/>
    <w:rsid w:val="006845DB"/>
    <w:rsid w:val="00685B9B"/>
    <w:rsid w:val="006869CD"/>
    <w:rsid w:val="00690DAD"/>
    <w:rsid w:val="006928EF"/>
    <w:rsid w:val="006948F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2795E"/>
    <w:rsid w:val="00731065"/>
    <w:rsid w:val="00734A5B"/>
    <w:rsid w:val="00736EE9"/>
    <w:rsid w:val="00744E76"/>
    <w:rsid w:val="00744F8E"/>
    <w:rsid w:val="007474E3"/>
    <w:rsid w:val="00750DBD"/>
    <w:rsid w:val="00754F52"/>
    <w:rsid w:val="00756F03"/>
    <w:rsid w:val="00757D40"/>
    <w:rsid w:val="00763D00"/>
    <w:rsid w:val="00765BF6"/>
    <w:rsid w:val="00766E3D"/>
    <w:rsid w:val="007725D2"/>
    <w:rsid w:val="00777446"/>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233B"/>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C0ECA"/>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A57F6"/>
    <w:rsid w:val="00AC3086"/>
    <w:rsid w:val="00AC3C4F"/>
    <w:rsid w:val="00AD129A"/>
    <w:rsid w:val="00AD2BEA"/>
    <w:rsid w:val="00AD6085"/>
    <w:rsid w:val="00AD6D10"/>
    <w:rsid w:val="00AD79D3"/>
    <w:rsid w:val="00AD7DBB"/>
    <w:rsid w:val="00AE0512"/>
    <w:rsid w:val="00AE2FAD"/>
    <w:rsid w:val="00AE7FCB"/>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26FA"/>
    <w:rsid w:val="00B44215"/>
    <w:rsid w:val="00B47FD1"/>
    <w:rsid w:val="00B50E64"/>
    <w:rsid w:val="00B51995"/>
    <w:rsid w:val="00B538FD"/>
    <w:rsid w:val="00B53A9C"/>
    <w:rsid w:val="00B5601B"/>
    <w:rsid w:val="00B75BC6"/>
    <w:rsid w:val="00B7694C"/>
    <w:rsid w:val="00B8165E"/>
    <w:rsid w:val="00B81771"/>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4517"/>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27CB"/>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944E3"/>
    <w:rsid w:val="00CA2DDF"/>
    <w:rsid w:val="00CA3D0C"/>
    <w:rsid w:val="00CB0100"/>
    <w:rsid w:val="00CB4E11"/>
    <w:rsid w:val="00CC1AA7"/>
    <w:rsid w:val="00CC6CD7"/>
    <w:rsid w:val="00CC7CBA"/>
    <w:rsid w:val="00CD0C7B"/>
    <w:rsid w:val="00CD2A4F"/>
    <w:rsid w:val="00CD4C7B"/>
    <w:rsid w:val="00CE6985"/>
    <w:rsid w:val="00CF26B1"/>
    <w:rsid w:val="00CF66B0"/>
    <w:rsid w:val="00CF6A0B"/>
    <w:rsid w:val="00D00A1B"/>
    <w:rsid w:val="00D02E73"/>
    <w:rsid w:val="00D167ED"/>
    <w:rsid w:val="00D21CC4"/>
    <w:rsid w:val="00D24F1D"/>
    <w:rsid w:val="00D26E84"/>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1DED"/>
    <w:rsid w:val="00DC309B"/>
    <w:rsid w:val="00DC3D63"/>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67368"/>
    <w:rsid w:val="00E713FC"/>
    <w:rsid w:val="00E714A4"/>
    <w:rsid w:val="00E723DD"/>
    <w:rsid w:val="00E72C11"/>
    <w:rsid w:val="00E77645"/>
    <w:rsid w:val="00E81CD1"/>
    <w:rsid w:val="00E87F8B"/>
    <w:rsid w:val="00E95A1C"/>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0CBC"/>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1391AFBE-EFB5-47CE-928E-75504B6C2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uiPriority w:val="99"/>
    <w:rsid w:val="004A2019"/>
  </w:style>
  <w:style w:type="character" w:customStyle="1" w:styleId="Char1">
    <w:name w:val="메모 텍스트 Char"/>
    <w:basedOn w:val="a0"/>
    <w:link w:val="a9"/>
    <w:uiPriority w:val="9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11284764">
      <w:bodyDiv w:val="1"/>
      <w:marLeft w:val="0"/>
      <w:marRight w:val="0"/>
      <w:marTop w:val="0"/>
      <w:marBottom w:val="0"/>
      <w:divBdr>
        <w:top w:val="none" w:sz="0" w:space="0" w:color="auto"/>
        <w:left w:val="none" w:sz="0" w:space="0" w:color="auto"/>
        <w:bottom w:val="none" w:sz="0" w:space="0" w:color="auto"/>
        <w:right w:val="none" w:sz="0" w:space="0" w:color="auto"/>
      </w:divBdr>
    </w:div>
    <w:div w:id="1841580218">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526</Words>
  <Characters>3003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3522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4</cp:revision>
  <cp:lastPrinted>2016-09-20T11:22:00Z</cp:lastPrinted>
  <dcterms:created xsi:type="dcterms:W3CDTF">2017-11-17T04:25:00Z</dcterms:created>
  <dcterms:modified xsi:type="dcterms:W3CDTF">2017-11-17T05:24:00Z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